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C675B02" wp14:editId="2D75138F">
            <wp:extent cx="5400040" cy="2697911"/>
            <wp:effectExtent l="0" t="0" r="0" b="7620"/>
            <wp:docPr id="2" name="Imagen 2" descr="http://www.vasalto.com/wp-content/uploads/2018/04/Banner-Evento-Firma-Electronica-RRHH-Madrid-Signaturit-Vasalt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alto.com/wp-content/uploads/2018/04/Banner-Evento-Firma-Electronica-RRHH-Madrid-Signaturit-Vasalto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9:00h – 9:10h – </w:t>
      </w:r>
      <w:r>
        <w:rPr>
          <w:rFonts w:ascii="Arial" w:hAnsi="Arial" w:cs="Arial"/>
          <w:color w:val="666666"/>
          <w:sz w:val="21"/>
          <w:szCs w:val="21"/>
        </w:rPr>
        <w:t>Recepción de los asistentes y café</w:t>
      </w:r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9:15h – 9:20h “Optimización de procesos de gestión de RRHH y ROI.”</w:t>
      </w:r>
      <w:r>
        <w:rPr>
          <w:rFonts w:ascii="Arial" w:hAnsi="Arial" w:cs="Arial"/>
          <w:color w:val="666666"/>
          <w:sz w:val="21"/>
          <w:szCs w:val="21"/>
        </w:rPr>
        <w:t> </w:t>
      </w:r>
      <w:hyperlink r:id="rId5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Luis Guerra Carbajo, Director General de VASALTO</w:t>
        </w:r>
      </w:hyperlink>
      <w:r>
        <w:rPr>
          <w:rFonts w:ascii="Arial" w:hAnsi="Arial" w:cs="Arial"/>
          <w:color w:val="666666"/>
          <w:sz w:val="21"/>
          <w:szCs w:val="21"/>
        </w:rPr>
        <w:t>:</w:t>
      </w:r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9:25h – 9:35h – 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«Caso de uso de la firma electrónica para agilizar la firma de documentación relativa a  los cambios de jornadas laborales» </w:t>
      </w:r>
      <w:hyperlink r:id="rId6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Beatriz García, Gestión de RRHH en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Menzies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Aviation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España</w:t>
        </w:r>
      </w:hyperlink>
      <w:r>
        <w:rPr>
          <w:rFonts w:ascii="Arial" w:hAnsi="Arial" w:cs="Arial"/>
          <w:color w:val="666666"/>
          <w:sz w:val="21"/>
          <w:szCs w:val="21"/>
        </w:rPr>
        <w:t>:</w:t>
      </w:r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9:40h – 9:50h –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«Caso de uso de comunicaciones certificadas en IATA” </w:t>
      </w:r>
      <w:hyperlink r:id="rId7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Teresa García, Agency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Risk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Management en el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Service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Center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Europe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de IATA</w:t>
        </w:r>
      </w:hyperlink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9:55h – 10:05h –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 “Qué es la firma electrónica y qué utilidad tiene en los procesos de contratación y gestión de personal”</w:t>
      </w:r>
      <w:r>
        <w:rPr>
          <w:rFonts w:ascii="Arial" w:hAnsi="Arial" w:cs="Arial"/>
          <w:color w:val="666666"/>
          <w:sz w:val="21"/>
          <w:szCs w:val="21"/>
        </w:rPr>
        <w:t>  </w:t>
      </w:r>
      <w:hyperlink r:id="rId8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Paula Ferrer,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Account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Executive</w:t>
        </w:r>
        <w:proofErr w:type="spellEnd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 xml:space="preserve"> de </w:t>
        </w:r>
        <w:proofErr w:type="spellStart"/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Signaturit</w:t>
        </w:r>
        <w:proofErr w:type="spellEnd"/>
      </w:hyperlink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10:10 – 10:20h – 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“La validez jurídica de la firma electrónica”</w:t>
      </w:r>
      <w:r>
        <w:rPr>
          <w:rFonts w:ascii="Arial" w:hAnsi="Arial" w:cs="Arial"/>
          <w:color w:val="666666"/>
          <w:sz w:val="21"/>
          <w:szCs w:val="21"/>
        </w:rPr>
        <w:t> </w:t>
      </w:r>
      <w:hyperlink r:id="rId9" w:history="1">
        <w:r>
          <w:rPr>
            <w:rStyle w:val="Hipervnculo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Ramón Mesonero-Romanos, Socio de CECA MAGÁN ABOGADOS</w:t>
        </w:r>
      </w:hyperlink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10:20h – 10:30h – </w:t>
      </w:r>
      <w:r>
        <w:rPr>
          <w:rFonts w:ascii="Arial" w:hAnsi="Arial" w:cs="Arial"/>
          <w:color w:val="666666"/>
          <w:sz w:val="21"/>
          <w:szCs w:val="21"/>
        </w:rPr>
        <w:t>Q&amp;A</w:t>
      </w:r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10:30h – 10:35h –</w:t>
      </w:r>
      <w:r>
        <w:rPr>
          <w:rFonts w:ascii="Arial" w:hAnsi="Arial" w:cs="Arial"/>
          <w:color w:val="666666"/>
          <w:sz w:val="21"/>
          <w:szCs w:val="21"/>
        </w:rPr>
        <w:t> Cierre y agradecimientos</w:t>
      </w:r>
    </w:p>
    <w:p w:rsidR="00D25F27" w:rsidRDefault="00D25F27" w:rsidP="00D2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10:35h – 11:00h –</w:t>
      </w:r>
      <w:r>
        <w:rPr>
          <w:rFonts w:ascii="Arial" w:hAnsi="Arial" w:cs="Arial"/>
          <w:color w:val="666666"/>
          <w:sz w:val="21"/>
          <w:szCs w:val="21"/>
        </w:rPr>
        <w:t> 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Networking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y desayuno.</w:t>
      </w:r>
    </w:p>
    <w:p w:rsidR="00134AB1" w:rsidRDefault="00D25F27"/>
    <w:sectPr w:rsidR="00134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31"/>
    <w:rsid w:val="0008619A"/>
    <w:rsid w:val="00167831"/>
    <w:rsid w:val="002C006D"/>
    <w:rsid w:val="00D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759C-D63A-4471-A71C-60F7FBB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25F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25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errerpau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mteresagar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beatriz-garc%C3%ADa-gil-6158a72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luis-guerra-504780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in/ramonmesoneroroma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Rios Pascual</dc:creator>
  <cp:keywords/>
  <dc:description/>
  <cp:lastModifiedBy>David  Rios Pascual</cp:lastModifiedBy>
  <cp:revision>2</cp:revision>
  <dcterms:created xsi:type="dcterms:W3CDTF">2019-10-10T09:28:00Z</dcterms:created>
  <dcterms:modified xsi:type="dcterms:W3CDTF">2019-10-10T09:28:00Z</dcterms:modified>
</cp:coreProperties>
</file>